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3194" w14:textId="77777777" w:rsidR="006D49B1" w:rsidRPr="006D49B1" w:rsidRDefault="006D49B1" w:rsidP="006D49B1">
      <w:pPr>
        <w:spacing w:line="500" w:lineRule="exact"/>
        <w:rPr>
          <w:rFonts w:ascii="黑体" w:eastAsia="黑体" w:hAnsi="黑体" w:cs="仿宋"/>
          <w:b/>
          <w:bCs/>
          <w:sz w:val="32"/>
          <w:szCs w:val="32"/>
        </w:rPr>
      </w:pPr>
      <w:r w:rsidRPr="006D49B1">
        <w:rPr>
          <w:rFonts w:ascii="黑体" w:eastAsia="黑体" w:hAnsi="黑体" w:cs="仿宋" w:hint="eastAsia"/>
          <w:b/>
          <w:bCs/>
          <w:sz w:val="32"/>
          <w:szCs w:val="32"/>
        </w:rPr>
        <w:t>附件：</w:t>
      </w:r>
    </w:p>
    <w:p w14:paraId="1C0ECD0A" w14:textId="77777777" w:rsidR="006D49B1" w:rsidRPr="006D49B1" w:rsidRDefault="006D49B1" w:rsidP="006D49B1">
      <w:pPr>
        <w:widowControl/>
        <w:spacing w:line="500" w:lineRule="exact"/>
        <w:jc w:val="center"/>
        <w:rPr>
          <w:rFonts w:ascii="宋体" w:eastAsia="宋体" w:hAnsi="宋体" w:cs="Times New Roman"/>
          <w:bCs/>
          <w:sz w:val="36"/>
          <w:szCs w:val="36"/>
        </w:rPr>
      </w:pPr>
      <w:r w:rsidRPr="006D49B1">
        <w:rPr>
          <w:rFonts w:ascii="宋体" w:eastAsia="宋体" w:hAnsi="宋体" w:cs="Times New Roman" w:hint="eastAsia"/>
          <w:bCs/>
          <w:sz w:val="36"/>
          <w:szCs w:val="36"/>
        </w:rPr>
        <w:t>福建师范大学经济学院毕业生就业创业工作奖励办法（修订）</w:t>
      </w:r>
    </w:p>
    <w:p w14:paraId="7EDCBD0A" w14:textId="77777777" w:rsidR="006D49B1" w:rsidRPr="006D49B1" w:rsidRDefault="006D49B1" w:rsidP="006D49B1">
      <w:pPr>
        <w:spacing w:line="500" w:lineRule="exact"/>
        <w:ind w:firstLineChars="200" w:firstLine="560"/>
        <w:rPr>
          <w:rFonts w:ascii="仿宋" w:eastAsia="仿宋" w:hAnsi="仿宋" w:cs="仿宋"/>
          <w:sz w:val="28"/>
          <w:szCs w:val="28"/>
        </w:rPr>
      </w:pPr>
    </w:p>
    <w:p w14:paraId="754D229D"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为调动学院全体教职员工关心就业、参与就业的主动性和积极性，营造良好的全员、全程、全方位参与就业的工作氛围，不断提高我院毕业生就业率和就业质量，以</w:t>
      </w:r>
      <w:proofErr w:type="gramStart"/>
      <w:r w:rsidRPr="006D49B1">
        <w:rPr>
          <w:rFonts w:ascii="仿宋" w:eastAsia="仿宋" w:hAnsi="仿宋" w:cs="仿宋" w:hint="eastAsia"/>
          <w:sz w:val="32"/>
          <w:szCs w:val="32"/>
        </w:rPr>
        <w:t>落实好习近</w:t>
      </w:r>
      <w:proofErr w:type="gramEnd"/>
      <w:r w:rsidRPr="006D49B1">
        <w:rPr>
          <w:rFonts w:ascii="仿宋" w:eastAsia="仿宋" w:hAnsi="仿宋" w:cs="仿宋" w:hint="eastAsia"/>
          <w:sz w:val="32"/>
          <w:szCs w:val="32"/>
        </w:rPr>
        <w:t>平总书记关于加强大学生就业的指示精神和国务院、省委和学校党委关于就业工作的相关部署。现结合学院工作实际，特制定本办法。</w:t>
      </w:r>
    </w:p>
    <w:p w14:paraId="2B35D626" w14:textId="77777777" w:rsidR="006D49B1" w:rsidRPr="006D49B1" w:rsidRDefault="006D49B1" w:rsidP="006D49B1">
      <w:pPr>
        <w:spacing w:line="500" w:lineRule="exact"/>
        <w:ind w:firstLineChars="200" w:firstLine="643"/>
        <w:rPr>
          <w:rFonts w:ascii="仿宋" w:eastAsia="仿宋" w:hAnsi="仿宋" w:cs="仿宋"/>
          <w:b/>
          <w:bCs/>
          <w:sz w:val="32"/>
          <w:szCs w:val="32"/>
        </w:rPr>
      </w:pPr>
      <w:r w:rsidRPr="006D49B1">
        <w:rPr>
          <w:rFonts w:ascii="仿宋" w:eastAsia="仿宋" w:hAnsi="仿宋" w:cs="仿宋" w:hint="eastAsia"/>
          <w:b/>
          <w:bCs/>
          <w:sz w:val="32"/>
          <w:szCs w:val="32"/>
        </w:rPr>
        <w:t>一、奖励对象、奖励时间</w:t>
      </w:r>
    </w:p>
    <w:p w14:paraId="4B65460C"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（一）奖励对象：在学院毕业生就业工作中</w:t>
      </w:r>
      <w:proofErr w:type="gramStart"/>
      <w:r w:rsidRPr="006D49B1">
        <w:rPr>
          <w:rFonts w:ascii="仿宋" w:eastAsia="仿宋" w:hAnsi="仿宋" w:cs="仿宋" w:hint="eastAsia"/>
          <w:sz w:val="32"/>
          <w:szCs w:val="32"/>
        </w:rPr>
        <w:t>作出</w:t>
      </w:r>
      <w:proofErr w:type="gramEnd"/>
      <w:r w:rsidRPr="006D49B1">
        <w:rPr>
          <w:rFonts w:ascii="仿宋" w:eastAsia="仿宋" w:hAnsi="仿宋" w:cs="仿宋" w:hint="eastAsia"/>
          <w:sz w:val="32"/>
          <w:szCs w:val="32"/>
        </w:rPr>
        <w:t>贡献的个人和集体。</w:t>
      </w:r>
    </w:p>
    <w:p w14:paraId="073D16D3"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（二）奖励时间：每年12月进行绩效核算，纳入学院目标管理绩效。</w:t>
      </w:r>
    </w:p>
    <w:p w14:paraId="4DA155AC" w14:textId="77777777" w:rsidR="006D49B1" w:rsidRPr="006D49B1" w:rsidRDefault="006D49B1" w:rsidP="006D49B1">
      <w:pPr>
        <w:spacing w:line="500" w:lineRule="exact"/>
        <w:ind w:firstLineChars="200" w:firstLine="643"/>
        <w:rPr>
          <w:rFonts w:ascii="仿宋" w:eastAsia="仿宋" w:hAnsi="仿宋" w:cs="仿宋"/>
          <w:b/>
          <w:bCs/>
          <w:sz w:val="32"/>
          <w:szCs w:val="32"/>
        </w:rPr>
      </w:pPr>
      <w:r w:rsidRPr="006D49B1">
        <w:rPr>
          <w:rFonts w:ascii="仿宋" w:eastAsia="仿宋" w:hAnsi="仿宋" w:cs="仿宋" w:hint="eastAsia"/>
          <w:b/>
          <w:bCs/>
          <w:sz w:val="32"/>
          <w:szCs w:val="32"/>
        </w:rPr>
        <w:t>二、就业率、签约率的相关核定标准</w:t>
      </w:r>
    </w:p>
    <w:p w14:paraId="41608A17"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（一）就业证明材料包括工作证明（就业协议书、劳动合同书或单位出示的其他正式录用函）、升学证明（录取通知书或调档函）和自主创业证明（自主创业登记表、营业执照）等材料。</w:t>
      </w:r>
    </w:p>
    <w:p w14:paraId="2F9E6FB2"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（二）须符合学校就业率、签约率统计的要求。</w:t>
      </w:r>
    </w:p>
    <w:p w14:paraId="6C2FC33F"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（三）就业率、签约率以10月31日前提交的有效就业证明材料为依据计算，以学校核定结果为准。</w:t>
      </w:r>
    </w:p>
    <w:p w14:paraId="7F6241F1" w14:textId="77777777" w:rsidR="006D49B1" w:rsidRPr="006D49B1" w:rsidRDefault="006D49B1" w:rsidP="006D49B1">
      <w:pPr>
        <w:spacing w:line="500" w:lineRule="exact"/>
        <w:ind w:firstLineChars="200" w:firstLine="643"/>
        <w:rPr>
          <w:rFonts w:ascii="仿宋" w:eastAsia="仿宋" w:hAnsi="仿宋" w:cs="仿宋"/>
          <w:b/>
          <w:bCs/>
          <w:sz w:val="32"/>
          <w:szCs w:val="32"/>
        </w:rPr>
      </w:pPr>
      <w:r w:rsidRPr="006D49B1">
        <w:rPr>
          <w:rFonts w:ascii="仿宋" w:eastAsia="仿宋" w:hAnsi="仿宋" w:cs="仿宋" w:hint="eastAsia"/>
          <w:b/>
          <w:bCs/>
          <w:sz w:val="32"/>
          <w:szCs w:val="32"/>
        </w:rPr>
        <w:t>三、就业创业工作奖励标准</w:t>
      </w:r>
    </w:p>
    <w:p w14:paraId="7788B6B4"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（一）就业能力培养和提升奖</w:t>
      </w:r>
    </w:p>
    <w:p w14:paraId="52D616D8"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学院教职工承担工作职责外的学生就业辅导讲座（含考研辅导、职业规划、就业指导、简历制作指导），奖励300元</w:t>
      </w:r>
      <w:r w:rsidRPr="006D49B1">
        <w:rPr>
          <w:rFonts w:ascii="仿宋" w:eastAsia="仿宋" w:hAnsi="仿宋" w:cs="仿宋" w:hint="eastAsia"/>
          <w:sz w:val="32"/>
          <w:szCs w:val="32"/>
        </w:rPr>
        <w:lastRenderedPageBreak/>
        <w:t>/场次（须报学院就业工作领导小组备案，以领导小组审批结果为准）。</w:t>
      </w:r>
    </w:p>
    <w:p w14:paraId="7A373541"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（二）就业渠道开拓奖</w:t>
      </w:r>
    </w:p>
    <w:p w14:paraId="3303082F"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1.学院教职工推荐用人单位参加校园招聘会或组织企业召开专场招聘并成功推荐应届毕业生就业的（以学生签约协议为准），每推荐一个单位奖励400元（用人单位主动联系院校的除外）。</w:t>
      </w:r>
    </w:p>
    <w:p w14:paraId="165DB96F"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2.学院教职工推荐应届毕业生直接与企业对接并成功就业者（以学生签约协议为准），每推荐一名学生奖励300元。</w:t>
      </w:r>
    </w:p>
    <w:p w14:paraId="249FA04E"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3.指导毕业生成功自主创业的（以获取本人姓名的营业执照为准或注册公司，拥有股权证明为准），每项奖励指导教师1000元。</w:t>
      </w:r>
    </w:p>
    <w:p w14:paraId="1AD5A708"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4.以当年所指导的全日制毕业研究生人数为基准。就业率</w:t>
      </w:r>
      <w:r w:rsidRPr="006D49B1">
        <w:rPr>
          <w:rFonts w:ascii="Arial" w:eastAsia="仿宋" w:hAnsi="Arial" w:cs="Arial" w:hint="eastAsia"/>
          <w:sz w:val="32"/>
          <w:szCs w:val="32"/>
        </w:rPr>
        <w:t>达</w:t>
      </w:r>
      <w:r w:rsidRPr="006D49B1">
        <w:rPr>
          <w:rFonts w:ascii="仿宋" w:eastAsia="仿宋" w:hAnsi="仿宋" w:cs="仿宋" w:hint="eastAsia"/>
          <w:sz w:val="32"/>
          <w:szCs w:val="32"/>
        </w:rPr>
        <w:t>100%的，奖励指导教师500元。</w:t>
      </w:r>
    </w:p>
    <w:p w14:paraId="11759774"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5.在毕业班就业工作方面有突出贡献（奉献）的个人或集体由学院就业工作领导小组推荐申请“学院单位奖励金”，根据贡献（奉献度）予以奖励。</w:t>
      </w:r>
    </w:p>
    <w:p w14:paraId="674003CC"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（三）就业服务工作成效奖</w:t>
      </w:r>
    </w:p>
    <w:p w14:paraId="1DDE8DF7" w14:textId="77777777" w:rsidR="006D49B1" w:rsidRPr="006D49B1" w:rsidRDefault="006D49B1" w:rsidP="006D49B1">
      <w:pPr>
        <w:spacing w:line="500" w:lineRule="exact"/>
        <w:ind w:firstLineChars="200" w:firstLine="640"/>
        <w:rPr>
          <w:rFonts w:ascii="Arial" w:eastAsia="仿宋" w:hAnsi="Arial" w:cs="Arial"/>
          <w:sz w:val="32"/>
          <w:szCs w:val="32"/>
        </w:rPr>
      </w:pPr>
      <w:r w:rsidRPr="006D49B1">
        <w:rPr>
          <w:rFonts w:ascii="仿宋" w:eastAsia="仿宋" w:hAnsi="仿宋" w:cs="仿宋" w:hint="eastAsia"/>
          <w:sz w:val="32"/>
          <w:szCs w:val="32"/>
        </w:rPr>
        <w:t>1.本科生毕业班班主任要配合学院就业工作领导小组做好学生就业指导、就业信息收集、就业信息核对等就业服务工作。当毕业班班主任所带班级就业率</w:t>
      </w:r>
      <w:r w:rsidRPr="006D49B1">
        <w:rPr>
          <w:rFonts w:ascii="Arial" w:eastAsia="仿宋" w:hAnsi="Arial" w:cs="Arial"/>
          <w:sz w:val="32"/>
          <w:szCs w:val="32"/>
        </w:rPr>
        <w:t>≥</w:t>
      </w:r>
      <w:r w:rsidRPr="006D49B1">
        <w:rPr>
          <w:rFonts w:ascii="Arial" w:eastAsia="仿宋" w:hAnsi="Arial" w:cs="Arial" w:hint="eastAsia"/>
          <w:sz w:val="32"/>
          <w:szCs w:val="32"/>
        </w:rPr>
        <w:t>90%</w:t>
      </w:r>
      <w:r w:rsidRPr="006D49B1">
        <w:rPr>
          <w:rFonts w:ascii="Arial" w:eastAsia="仿宋" w:hAnsi="Arial" w:cs="Arial" w:hint="eastAsia"/>
          <w:sz w:val="32"/>
          <w:szCs w:val="32"/>
        </w:rPr>
        <w:t>以上的，给予班主任一次性工作奖励，奖励标准如下：</w:t>
      </w:r>
    </w:p>
    <w:tbl>
      <w:tblPr>
        <w:tblStyle w:val="a7"/>
        <w:tblW w:w="0" w:type="auto"/>
        <w:tblLook w:val="04A0" w:firstRow="1" w:lastRow="0" w:firstColumn="1" w:lastColumn="0" w:noHBand="0" w:noVBand="1"/>
      </w:tblPr>
      <w:tblGrid>
        <w:gridCol w:w="1668"/>
        <w:gridCol w:w="1658"/>
        <w:gridCol w:w="1658"/>
        <w:gridCol w:w="1659"/>
        <w:gridCol w:w="1653"/>
      </w:tblGrid>
      <w:tr w:rsidR="006D49B1" w:rsidRPr="006D49B1" w14:paraId="3A225880" w14:textId="77777777" w:rsidTr="00E826B9">
        <w:tc>
          <w:tcPr>
            <w:tcW w:w="1704" w:type="dxa"/>
          </w:tcPr>
          <w:p w14:paraId="7DF902EF"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hint="eastAsia"/>
                <w:sz w:val="32"/>
                <w:szCs w:val="32"/>
              </w:rPr>
              <w:t>签约率</w:t>
            </w:r>
            <w:r w:rsidRPr="006D49B1">
              <w:rPr>
                <w:rFonts w:ascii="Arial" w:eastAsia="仿宋" w:hAnsi="Arial" w:cs="Arial" w:hint="eastAsia"/>
                <w:sz w:val="32"/>
                <w:szCs w:val="32"/>
              </w:rPr>
              <w:t>%</w:t>
            </w:r>
          </w:p>
        </w:tc>
        <w:tc>
          <w:tcPr>
            <w:tcW w:w="1704" w:type="dxa"/>
          </w:tcPr>
          <w:p w14:paraId="54F29298"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sz w:val="32"/>
                <w:szCs w:val="32"/>
              </w:rPr>
              <w:t>≥</w:t>
            </w:r>
            <w:r w:rsidRPr="006D49B1">
              <w:rPr>
                <w:rFonts w:ascii="Arial" w:eastAsia="仿宋" w:hAnsi="Arial" w:cs="Arial" w:hint="eastAsia"/>
                <w:sz w:val="32"/>
                <w:szCs w:val="32"/>
              </w:rPr>
              <w:t>90%</w:t>
            </w:r>
          </w:p>
        </w:tc>
        <w:tc>
          <w:tcPr>
            <w:tcW w:w="1704" w:type="dxa"/>
          </w:tcPr>
          <w:p w14:paraId="78EEB026"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sz w:val="32"/>
                <w:szCs w:val="32"/>
              </w:rPr>
              <w:t>≥</w:t>
            </w:r>
            <w:r w:rsidRPr="006D49B1">
              <w:rPr>
                <w:rFonts w:ascii="Arial" w:eastAsia="仿宋" w:hAnsi="Arial" w:cs="Arial" w:hint="eastAsia"/>
                <w:sz w:val="32"/>
                <w:szCs w:val="32"/>
              </w:rPr>
              <w:t>95%</w:t>
            </w:r>
          </w:p>
        </w:tc>
        <w:tc>
          <w:tcPr>
            <w:tcW w:w="1705" w:type="dxa"/>
          </w:tcPr>
          <w:p w14:paraId="77E8A753"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sz w:val="32"/>
                <w:szCs w:val="32"/>
              </w:rPr>
              <w:t>≥</w:t>
            </w:r>
            <w:r w:rsidRPr="006D49B1">
              <w:rPr>
                <w:rFonts w:ascii="Arial" w:eastAsia="仿宋" w:hAnsi="Arial" w:cs="Arial" w:hint="eastAsia"/>
                <w:sz w:val="32"/>
                <w:szCs w:val="32"/>
              </w:rPr>
              <w:t>98%</w:t>
            </w:r>
          </w:p>
        </w:tc>
        <w:tc>
          <w:tcPr>
            <w:tcW w:w="1705" w:type="dxa"/>
          </w:tcPr>
          <w:p w14:paraId="33680F5E"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hint="eastAsia"/>
                <w:sz w:val="32"/>
                <w:szCs w:val="32"/>
              </w:rPr>
              <w:t>=100</w:t>
            </w:r>
          </w:p>
        </w:tc>
      </w:tr>
      <w:tr w:rsidR="006D49B1" w:rsidRPr="006D49B1" w14:paraId="03B70D34" w14:textId="77777777" w:rsidTr="00E826B9">
        <w:tc>
          <w:tcPr>
            <w:tcW w:w="1704" w:type="dxa"/>
          </w:tcPr>
          <w:p w14:paraId="52A9E7B0"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hint="eastAsia"/>
                <w:sz w:val="32"/>
                <w:szCs w:val="32"/>
              </w:rPr>
              <w:t>奖金（元）</w:t>
            </w:r>
          </w:p>
        </w:tc>
        <w:tc>
          <w:tcPr>
            <w:tcW w:w="1704" w:type="dxa"/>
          </w:tcPr>
          <w:p w14:paraId="5B2A25D3"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hint="eastAsia"/>
                <w:sz w:val="32"/>
                <w:szCs w:val="32"/>
              </w:rPr>
              <w:t>500</w:t>
            </w:r>
          </w:p>
        </w:tc>
        <w:tc>
          <w:tcPr>
            <w:tcW w:w="1704" w:type="dxa"/>
          </w:tcPr>
          <w:p w14:paraId="7AF9F627"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hint="eastAsia"/>
                <w:sz w:val="32"/>
                <w:szCs w:val="32"/>
              </w:rPr>
              <w:t>800</w:t>
            </w:r>
          </w:p>
        </w:tc>
        <w:tc>
          <w:tcPr>
            <w:tcW w:w="1705" w:type="dxa"/>
          </w:tcPr>
          <w:p w14:paraId="62652296"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hint="eastAsia"/>
                <w:sz w:val="32"/>
                <w:szCs w:val="32"/>
              </w:rPr>
              <w:t>900</w:t>
            </w:r>
          </w:p>
        </w:tc>
        <w:tc>
          <w:tcPr>
            <w:tcW w:w="1705" w:type="dxa"/>
          </w:tcPr>
          <w:p w14:paraId="5CECCE66"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hint="eastAsia"/>
                <w:sz w:val="32"/>
                <w:szCs w:val="32"/>
              </w:rPr>
              <w:t>1000</w:t>
            </w:r>
          </w:p>
        </w:tc>
      </w:tr>
    </w:tbl>
    <w:p w14:paraId="208237D1" w14:textId="77777777" w:rsidR="006D49B1" w:rsidRPr="006D49B1" w:rsidRDefault="006D49B1" w:rsidP="006D49B1">
      <w:pPr>
        <w:spacing w:line="500" w:lineRule="exact"/>
        <w:rPr>
          <w:rFonts w:ascii="Arial" w:eastAsia="仿宋" w:hAnsi="Arial" w:cs="Arial"/>
          <w:sz w:val="32"/>
          <w:szCs w:val="32"/>
        </w:rPr>
      </w:pPr>
      <w:r w:rsidRPr="006D49B1">
        <w:rPr>
          <w:rFonts w:ascii="Arial" w:eastAsia="仿宋" w:hAnsi="Arial" w:cs="Arial" w:hint="eastAsia"/>
          <w:sz w:val="32"/>
          <w:szCs w:val="32"/>
        </w:rPr>
        <w:t xml:space="preserve">    2.</w:t>
      </w:r>
      <w:r w:rsidRPr="006D49B1">
        <w:rPr>
          <w:rFonts w:ascii="仿宋" w:eastAsia="仿宋" w:hAnsi="仿宋" w:cs="仿宋" w:hint="eastAsia"/>
          <w:sz w:val="32"/>
          <w:szCs w:val="32"/>
        </w:rPr>
        <w:t>负责毕业班就业工作辅导员应认真完成学校下达的各项毕业就业服务工作，及时核对、统计、汇总和上报毕业生</w:t>
      </w:r>
      <w:r w:rsidRPr="006D49B1">
        <w:rPr>
          <w:rFonts w:ascii="仿宋" w:eastAsia="仿宋" w:hAnsi="仿宋" w:cs="仿宋" w:hint="eastAsia"/>
          <w:sz w:val="32"/>
          <w:szCs w:val="32"/>
        </w:rPr>
        <w:lastRenderedPageBreak/>
        <w:t>就业数据，积极开展就业调研、服务、跟踪调查，做好档案、户口管理等相关服务工作。当年所负责专业的毕业生总体就业率</w:t>
      </w:r>
      <w:r w:rsidRPr="006D49B1">
        <w:rPr>
          <w:rFonts w:ascii="Arial" w:eastAsia="仿宋" w:hAnsi="Arial" w:cs="Arial"/>
          <w:sz w:val="32"/>
          <w:szCs w:val="32"/>
        </w:rPr>
        <w:t>≥</w:t>
      </w:r>
      <w:r w:rsidRPr="006D49B1">
        <w:rPr>
          <w:rFonts w:ascii="Arial" w:eastAsia="仿宋" w:hAnsi="Arial" w:cs="Arial" w:hint="eastAsia"/>
          <w:sz w:val="32"/>
          <w:szCs w:val="32"/>
        </w:rPr>
        <w:t>90%</w:t>
      </w:r>
      <w:r w:rsidRPr="006D49B1">
        <w:rPr>
          <w:rFonts w:ascii="Arial" w:eastAsia="仿宋" w:hAnsi="Arial" w:cs="Arial" w:hint="eastAsia"/>
          <w:sz w:val="32"/>
          <w:szCs w:val="32"/>
        </w:rPr>
        <w:t>以上的，给予毕业班辅导员每人一次性工作奖励，奖励标准如下：</w:t>
      </w:r>
    </w:p>
    <w:tbl>
      <w:tblPr>
        <w:tblStyle w:val="a7"/>
        <w:tblW w:w="0" w:type="auto"/>
        <w:tblLook w:val="04A0" w:firstRow="1" w:lastRow="0" w:firstColumn="1" w:lastColumn="0" w:noHBand="0" w:noVBand="1"/>
      </w:tblPr>
      <w:tblGrid>
        <w:gridCol w:w="1668"/>
        <w:gridCol w:w="1658"/>
        <w:gridCol w:w="1658"/>
        <w:gridCol w:w="1659"/>
        <w:gridCol w:w="1653"/>
      </w:tblGrid>
      <w:tr w:rsidR="006D49B1" w:rsidRPr="006D49B1" w14:paraId="33D9515A" w14:textId="77777777" w:rsidTr="00E826B9">
        <w:tc>
          <w:tcPr>
            <w:tcW w:w="1704" w:type="dxa"/>
          </w:tcPr>
          <w:p w14:paraId="3EA4220B"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hint="eastAsia"/>
                <w:sz w:val="32"/>
                <w:szCs w:val="32"/>
              </w:rPr>
              <w:t>签约率</w:t>
            </w:r>
            <w:r w:rsidRPr="006D49B1">
              <w:rPr>
                <w:rFonts w:ascii="Arial" w:eastAsia="仿宋" w:hAnsi="Arial" w:cs="Arial" w:hint="eastAsia"/>
                <w:sz w:val="32"/>
                <w:szCs w:val="32"/>
              </w:rPr>
              <w:t>%</w:t>
            </w:r>
          </w:p>
        </w:tc>
        <w:tc>
          <w:tcPr>
            <w:tcW w:w="1704" w:type="dxa"/>
          </w:tcPr>
          <w:p w14:paraId="39BAE706"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sz w:val="32"/>
                <w:szCs w:val="32"/>
              </w:rPr>
              <w:t>≥</w:t>
            </w:r>
            <w:r w:rsidRPr="006D49B1">
              <w:rPr>
                <w:rFonts w:ascii="Arial" w:eastAsia="仿宋" w:hAnsi="Arial" w:cs="Arial" w:hint="eastAsia"/>
                <w:sz w:val="32"/>
                <w:szCs w:val="32"/>
              </w:rPr>
              <w:t>90%</w:t>
            </w:r>
          </w:p>
        </w:tc>
        <w:tc>
          <w:tcPr>
            <w:tcW w:w="1704" w:type="dxa"/>
          </w:tcPr>
          <w:p w14:paraId="523DA1A7"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sz w:val="32"/>
                <w:szCs w:val="32"/>
              </w:rPr>
              <w:t>≥</w:t>
            </w:r>
            <w:r w:rsidRPr="006D49B1">
              <w:rPr>
                <w:rFonts w:ascii="Arial" w:eastAsia="仿宋" w:hAnsi="Arial" w:cs="Arial" w:hint="eastAsia"/>
                <w:sz w:val="32"/>
                <w:szCs w:val="32"/>
              </w:rPr>
              <w:t>95%</w:t>
            </w:r>
          </w:p>
        </w:tc>
        <w:tc>
          <w:tcPr>
            <w:tcW w:w="1705" w:type="dxa"/>
          </w:tcPr>
          <w:p w14:paraId="216F60A8"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sz w:val="32"/>
                <w:szCs w:val="32"/>
              </w:rPr>
              <w:t>≥</w:t>
            </w:r>
            <w:r w:rsidRPr="006D49B1">
              <w:rPr>
                <w:rFonts w:ascii="Arial" w:eastAsia="仿宋" w:hAnsi="Arial" w:cs="Arial" w:hint="eastAsia"/>
                <w:sz w:val="32"/>
                <w:szCs w:val="32"/>
              </w:rPr>
              <w:t>98%</w:t>
            </w:r>
          </w:p>
        </w:tc>
        <w:tc>
          <w:tcPr>
            <w:tcW w:w="1705" w:type="dxa"/>
          </w:tcPr>
          <w:p w14:paraId="48DBD077"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hint="eastAsia"/>
                <w:sz w:val="32"/>
                <w:szCs w:val="32"/>
              </w:rPr>
              <w:t>=100</w:t>
            </w:r>
          </w:p>
        </w:tc>
      </w:tr>
      <w:tr w:rsidR="006D49B1" w:rsidRPr="006D49B1" w14:paraId="2B69F6B1" w14:textId="77777777" w:rsidTr="00E826B9">
        <w:tc>
          <w:tcPr>
            <w:tcW w:w="1704" w:type="dxa"/>
          </w:tcPr>
          <w:p w14:paraId="3312C7A8"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hint="eastAsia"/>
                <w:sz w:val="32"/>
                <w:szCs w:val="32"/>
              </w:rPr>
              <w:t>奖金（元）</w:t>
            </w:r>
          </w:p>
        </w:tc>
        <w:tc>
          <w:tcPr>
            <w:tcW w:w="1704" w:type="dxa"/>
          </w:tcPr>
          <w:p w14:paraId="72824953"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hint="eastAsia"/>
                <w:sz w:val="32"/>
                <w:szCs w:val="32"/>
              </w:rPr>
              <w:t>1000</w:t>
            </w:r>
          </w:p>
        </w:tc>
        <w:tc>
          <w:tcPr>
            <w:tcW w:w="1704" w:type="dxa"/>
          </w:tcPr>
          <w:p w14:paraId="0B43F86E"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hint="eastAsia"/>
                <w:sz w:val="32"/>
                <w:szCs w:val="32"/>
              </w:rPr>
              <w:t>1500</w:t>
            </w:r>
          </w:p>
        </w:tc>
        <w:tc>
          <w:tcPr>
            <w:tcW w:w="1705" w:type="dxa"/>
          </w:tcPr>
          <w:p w14:paraId="499E506E"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hint="eastAsia"/>
                <w:sz w:val="32"/>
                <w:szCs w:val="32"/>
              </w:rPr>
              <w:t>2000</w:t>
            </w:r>
          </w:p>
        </w:tc>
        <w:tc>
          <w:tcPr>
            <w:tcW w:w="1705" w:type="dxa"/>
          </w:tcPr>
          <w:p w14:paraId="598055D7" w14:textId="77777777" w:rsidR="006D49B1" w:rsidRPr="006D49B1" w:rsidRDefault="006D49B1" w:rsidP="006D49B1">
            <w:pPr>
              <w:spacing w:line="500" w:lineRule="exact"/>
              <w:jc w:val="center"/>
              <w:rPr>
                <w:rFonts w:ascii="Arial" w:eastAsia="仿宋" w:hAnsi="Arial" w:cs="Arial"/>
                <w:sz w:val="32"/>
                <w:szCs w:val="32"/>
              </w:rPr>
            </w:pPr>
            <w:r w:rsidRPr="006D49B1">
              <w:rPr>
                <w:rFonts w:ascii="Arial" w:eastAsia="仿宋" w:hAnsi="Arial" w:cs="Arial" w:hint="eastAsia"/>
                <w:sz w:val="32"/>
                <w:szCs w:val="32"/>
              </w:rPr>
              <w:t>3000</w:t>
            </w:r>
          </w:p>
        </w:tc>
      </w:tr>
    </w:tbl>
    <w:p w14:paraId="1B29B91F" w14:textId="77777777" w:rsidR="006D49B1" w:rsidRPr="006D49B1" w:rsidRDefault="006D49B1" w:rsidP="006D49B1">
      <w:pPr>
        <w:spacing w:line="500" w:lineRule="exact"/>
        <w:rPr>
          <w:rFonts w:ascii="Arial" w:eastAsia="仿宋" w:hAnsi="Arial" w:cs="Arial"/>
          <w:sz w:val="32"/>
          <w:szCs w:val="32"/>
        </w:rPr>
      </w:pPr>
      <w:r w:rsidRPr="006D49B1">
        <w:rPr>
          <w:rFonts w:ascii="Arial" w:eastAsia="仿宋" w:hAnsi="Arial" w:cs="Arial" w:hint="eastAsia"/>
          <w:sz w:val="32"/>
          <w:szCs w:val="32"/>
        </w:rPr>
        <w:t xml:space="preserve">    </w:t>
      </w:r>
      <w:r w:rsidRPr="006D49B1">
        <w:rPr>
          <w:rFonts w:ascii="Arial" w:eastAsia="仿宋" w:hAnsi="Arial" w:cs="Arial" w:hint="eastAsia"/>
          <w:sz w:val="32"/>
          <w:szCs w:val="32"/>
        </w:rPr>
        <w:t>（四）就业工作集体奖励</w:t>
      </w:r>
    </w:p>
    <w:p w14:paraId="2AAFA56B"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以系为单位，系所负责的专业整体就业率、专业考研率和本院考研率作为奖励依据。计算标准如下：</w:t>
      </w:r>
    </w:p>
    <w:p w14:paraId="2F69B477"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1.专业整体就业率</w:t>
      </w:r>
      <w:r w:rsidRPr="006D49B1">
        <w:rPr>
          <w:rFonts w:ascii="Arial" w:eastAsia="仿宋" w:hAnsi="Arial" w:cs="Arial" w:hint="eastAsia"/>
          <w:sz w:val="32"/>
          <w:szCs w:val="32"/>
        </w:rPr>
        <w:t>=90%</w:t>
      </w:r>
      <w:r w:rsidRPr="006D49B1">
        <w:rPr>
          <w:rFonts w:ascii="Arial" w:eastAsia="仿宋" w:hAnsi="Arial" w:cs="Arial" w:hint="eastAsia"/>
          <w:sz w:val="32"/>
          <w:szCs w:val="32"/>
        </w:rPr>
        <w:t>的，按</w:t>
      </w:r>
      <w:r w:rsidRPr="006D49B1">
        <w:rPr>
          <w:rFonts w:ascii="仿宋" w:eastAsia="仿宋" w:hAnsi="仿宋" w:cs="仿宋" w:hint="eastAsia"/>
          <w:sz w:val="32"/>
          <w:szCs w:val="32"/>
        </w:rPr>
        <w:t>人均300元的标准奖励到系（专业学生总数*300元/人）；以90%为基准，1%≤整体就业率</w:t>
      </w:r>
      <w:proofErr w:type="gramStart"/>
      <w:r w:rsidRPr="006D49B1">
        <w:rPr>
          <w:rFonts w:ascii="仿宋" w:eastAsia="仿宋" w:hAnsi="仿宋" w:cs="仿宋" w:hint="eastAsia"/>
          <w:sz w:val="32"/>
          <w:szCs w:val="32"/>
        </w:rPr>
        <w:t>超出值</w:t>
      </w:r>
      <w:proofErr w:type="gramEnd"/>
      <w:r w:rsidRPr="006D49B1">
        <w:rPr>
          <w:rFonts w:ascii="仿宋" w:eastAsia="仿宋" w:hAnsi="仿宋" w:cs="仿宋" w:hint="eastAsia"/>
          <w:sz w:val="32"/>
          <w:szCs w:val="32"/>
        </w:rPr>
        <w:t>≤5%的，每增加1个百分点，再奖励该系1000元；就业率超出值＞5%的，每增加1个百分点，再奖励该系3000元。分点只取整数部分，小数部分不四舍五入。奖励金额可累加。</w:t>
      </w:r>
    </w:p>
    <w:p w14:paraId="053D14B9"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2.专业考研率（保</w:t>
      </w:r>
      <w:proofErr w:type="gramStart"/>
      <w:r w:rsidRPr="006D49B1">
        <w:rPr>
          <w:rFonts w:ascii="仿宋" w:eastAsia="仿宋" w:hAnsi="仿宋" w:cs="仿宋" w:hint="eastAsia"/>
          <w:sz w:val="32"/>
          <w:szCs w:val="32"/>
        </w:rPr>
        <w:t>研</w:t>
      </w:r>
      <w:proofErr w:type="gramEnd"/>
      <w:r w:rsidRPr="006D49B1">
        <w:rPr>
          <w:rFonts w:ascii="仿宋" w:eastAsia="仿宋" w:hAnsi="仿宋" w:cs="仿宋" w:hint="eastAsia"/>
          <w:sz w:val="32"/>
          <w:szCs w:val="32"/>
        </w:rPr>
        <w:t>人数不计算在内）=25%的，按人均300元的标准奖励到系（专业学生总数*300元/人）；以25%为基准，每增加1个百分点，再奖励该系1000元；专业考研率=30%的，每增加1个百分点，再奖励该系2000元；专业考研率=40%的，每增加1个百分点，再奖励该系3000元；专业考研率=50%的，每增加1个百分点，再奖励该系4000元；分点只取整数部分，小数部分不四舍五入。以此类推计算奖励金。</w:t>
      </w:r>
    </w:p>
    <w:p w14:paraId="1350A85E"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3.本院考研率（保</w:t>
      </w:r>
      <w:proofErr w:type="gramStart"/>
      <w:r w:rsidRPr="006D49B1">
        <w:rPr>
          <w:rFonts w:ascii="仿宋" w:eastAsia="仿宋" w:hAnsi="仿宋" w:cs="仿宋" w:hint="eastAsia"/>
          <w:sz w:val="32"/>
          <w:szCs w:val="32"/>
        </w:rPr>
        <w:t>研</w:t>
      </w:r>
      <w:proofErr w:type="gramEnd"/>
      <w:r w:rsidRPr="006D49B1">
        <w:rPr>
          <w:rFonts w:ascii="仿宋" w:eastAsia="仿宋" w:hAnsi="仿宋" w:cs="仿宋" w:hint="eastAsia"/>
          <w:sz w:val="32"/>
          <w:szCs w:val="32"/>
        </w:rPr>
        <w:t>人数不计算在内）是指系所负责的专业学生考上本院研究生（专业不限）的比率。当本院考研率=1</w:t>
      </w:r>
      <w:r w:rsidRPr="006D49B1">
        <w:rPr>
          <w:rFonts w:ascii="仿宋" w:eastAsia="仿宋" w:hAnsi="仿宋" w:cs="仿宋"/>
          <w:sz w:val="32"/>
          <w:szCs w:val="32"/>
        </w:rPr>
        <w:t>5</w:t>
      </w:r>
      <w:r w:rsidRPr="006D49B1">
        <w:rPr>
          <w:rFonts w:ascii="仿宋" w:eastAsia="仿宋" w:hAnsi="仿宋" w:cs="仿宋" w:hint="eastAsia"/>
          <w:sz w:val="32"/>
          <w:szCs w:val="32"/>
        </w:rPr>
        <w:t>%的，按人均400元的标准奖励到系（专业学生总数*400</w:t>
      </w:r>
      <w:r w:rsidRPr="006D49B1">
        <w:rPr>
          <w:rFonts w:ascii="仿宋" w:eastAsia="仿宋" w:hAnsi="仿宋" w:cs="仿宋" w:hint="eastAsia"/>
          <w:sz w:val="32"/>
          <w:szCs w:val="32"/>
        </w:rPr>
        <w:lastRenderedPageBreak/>
        <w:t>元/人）；以1</w:t>
      </w:r>
      <w:r w:rsidRPr="006D49B1">
        <w:rPr>
          <w:rFonts w:ascii="仿宋" w:eastAsia="仿宋" w:hAnsi="仿宋" w:cs="仿宋"/>
          <w:sz w:val="32"/>
          <w:szCs w:val="32"/>
        </w:rPr>
        <w:t>5</w:t>
      </w:r>
      <w:r w:rsidRPr="006D49B1">
        <w:rPr>
          <w:rFonts w:ascii="仿宋" w:eastAsia="仿宋" w:hAnsi="仿宋" w:cs="仿宋" w:hint="eastAsia"/>
          <w:sz w:val="32"/>
          <w:szCs w:val="32"/>
        </w:rPr>
        <w:t>%为基准，每增加1个百分点，再奖励该系1500元；专业考研率=20%的，每增加1个百分点，再奖励该系2500元；专业考研率=30%的，每增加1个百分点，再奖励该系3500元；专业考研率=40%的，每增加1个百分点，再奖励该系4500元；分点只取整数部分，小数部分不四舍五入。以此类推计算奖励金。</w:t>
      </w:r>
    </w:p>
    <w:p w14:paraId="1857E99B"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Arial" w:eastAsia="仿宋" w:hAnsi="Arial" w:cs="Arial" w:hint="eastAsia"/>
          <w:sz w:val="32"/>
          <w:szCs w:val="32"/>
        </w:rPr>
        <w:t>就业工作集体</w:t>
      </w:r>
      <w:r w:rsidRPr="006D49B1">
        <w:rPr>
          <w:rFonts w:ascii="仿宋" w:eastAsia="仿宋" w:hAnsi="仿宋" w:cs="仿宋" w:hint="eastAsia"/>
          <w:sz w:val="32"/>
          <w:szCs w:val="32"/>
        </w:rPr>
        <w:t>奖励=专业整体就业率+专业考研率+本院考研率。本奖励经费由系主任统筹使用，根据就业贡献度进行分配。系主任分配方案确定后，经系内部公示无异议后，上报学院就业工作领导小组审议。</w:t>
      </w:r>
    </w:p>
    <w:p w14:paraId="7FA98F69" w14:textId="77777777" w:rsidR="006D49B1" w:rsidRPr="006D49B1" w:rsidRDefault="006D49B1" w:rsidP="006D49B1">
      <w:pPr>
        <w:spacing w:line="500" w:lineRule="exact"/>
        <w:ind w:firstLineChars="200" w:firstLine="643"/>
        <w:rPr>
          <w:rFonts w:ascii="仿宋" w:eastAsia="仿宋" w:hAnsi="仿宋" w:cs="仿宋"/>
          <w:b/>
          <w:bCs/>
          <w:sz w:val="32"/>
          <w:szCs w:val="32"/>
        </w:rPr>
      </w:pPr>
      <w:r w:rsidRPr="006D49B1">
        <w:rPr>
          <w:rFonts w:ascii="仿宋" w:eastAsia="仿宋" w:hAnsi="仿宋" w:cs="仿宋" w:hint="eastAsia"/>
          <w:b/>
          <w:bCs/>
          <w:sz w:val="32"/>
          <w:szCs w:val="32"/>
        </w:rPr>
        <w:t>四、考核机构</w:t>
      </w:r>
    </w:p>
    <w:p w14:paraId="26EFA083"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学院成立就业工作领导小组，由学院党委书记、院长担任组长，副书记、副院长担任副组长，成员由各系主任、办公室负责人、毕业班辅导员、班主任组成。下设审核工作小组，挂靠学院办公室。</w:t>
      </w:r>
    </w:p>
    <w:p w14:paraId="51ED94AF" w14:textId="77777777" w:rsidR="006D49B1" w:rsidRPr="006D49B1" w:rsidRDefault="006D49B1" w:rsidP="006D49B1">
      <w:pPr>
        <w:spacing w:line="500" w:lineRule="exact"/>
        <w:ind w:firstLineChars="200" w:firstLine="643"/>
        <w:rPr>
          <w:rFonts w:ascii="仿宋" w:eastAsia="仿宋" w:hAnsi="仿宋" w:cs="仿宋"/>
          <w:b/>
          <w:bCs/>
          <w:sz w:val="32"/>
          <w:szCs w:val="32"/>
        </w:rPr>
      </w:pPr>
      <w:r w:rsidRPr="006D49B1">
        <w:rPr>
          <w:rFonts w:ascii="仿宋" w:eastAsia="仿宋" w:hAnsi="仿宋" w:cs="仿宋" w:hint="eastAsia"/>
          <w:b/>
          <w:bCs/>
          <w:sz w:val="32"/>
          <w:szCs w:val="32"/>
        </w:rPr>
        <w:t>五、奖励程序</w:t>
      </w:r>
    </w:p>
    <w:p w14:paraId="226DE846"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（一）个人或集体申请。由符合申报条件的个人或集体向学院提出申请，并填写《福建师范大学经济学院就业奖励申报表》</w:t>
      </w:r>
    </w:p>
    <w:p w14:paraId="6D749214"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（二）审核公示。由工作人员对申报表及相关材料汇总、核实后，经学院就业工作领导小组审核，党政联系会议研究确定后，确定奖励名单并公示，公示期为3个工作日。</w:t>
      </w:r>
    </w:p>
    <w:p w14:paraId="2C150280"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（三）审批发放。公示结束后报学院办公室备案，年终绩效计算时统一列入。</w:t>
      </w:r>
    </w:p>
    <w:p w14:paraId="3D0DBE71"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t>（四）如果相关项目有专门规定，按照其规定程序和办法执行。</w:t>
      </w:r>
    </w:p>
    <w:p w14:paraId="534FDC00" w14:textId="77777777" w:rsidR="006D49B1" w:rsidRPr="006D49B1" w:rsidRDefault="006D49B1" w:rsidP="006D49B1">
      <w:pPr>
        <w:spacing w:line="500" w:lineRule="exact"/>
        <w:ind w:firstLineChars="200" w:firstLine="643"/>
        <w:rPr>
          <w:rFonts w:ascii="仿宋" w:eastAsia="仿宋" w:hAnsi="仿宋" w:cs="仿宋"/>
          <w:b/>
          <w:bCs/>
          <w:sz w:val="32"/>
          <w:szCs w:val="32"/>
        </w:rPr>
      </w:pPr>
      <w:r w:rsidRPr="006D49B1">
        <w:rPr>
          <w:rFonts w:ascii="仿宋" w:eastAsia="仿宋" w:hAnsi="仿宋" w:cs="仿宋" w:hint="eastAsia"/>
          <w:b/>
          <w:bCs/>
          <w:sz w:val="32"/>
          <w:szCs w:val="32"/>
        </w:rPr>
        <w:t>六、其他</w:t>
      </w:r>
    </w:p>
    <w:p w14:paraId="39B7DBDE" w14:textId="77777777" w:rsidR="006D49B1" w:rsidRPr="006D49B1" w:rsidRDefault="006D49B1" w:rsidP="006D49B1">
      <w:pPr>
        <w:spacing w:line="500" w:lineRule="exact"/>
        <w:ind w:firstLineChars="200" w:firstLine="640"/>
        <w:rPr>
          <w:rFonts w:ascii="仿宋" w:eastAsia="仿宋" w:hAnsi="仿宋" w:cs="仿宋"/>
          <w:sz w:val="32"/>
          <w:szCs w:val="32"/>
        </w:rPr>
      </w:pPr>
      <w:r w:rsidRPr="006D49B1">
        <w:rPr>
          <w:rFonts w:ascii="仿宋" w:eastAsia="仿宋" w:hAnsi="仿宋" w:cs="仿宋" w:hint="eastAsia"/>
          <w:sz w:val="32"/>
          <w:szCs w:val="32"/>
        </w:rPr>
        <w:lastRenderedPageBreak/>
        <w:t>本奖励办法自发布之日起执行，未尽事宜，由学院党政联席会议决定并解释。</w:t>
      </w:r>
    </w:p>
    <w:p w14:paraId="3ED906CD" w14:textId="77777777" w:rsidR="00A348F7" w:rsidRPr="006D49B1" w:rsidRDefault="00A348F7"/>
    <w:sectPr w:rsidR="00A348F7" w:rsidRPr="006D49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BBD14" w14:textId="77777777" w:rsidR="00BC4399" w:rsidRDefault="00BC4399" w:rsidP="006D49B1">
      <w:r>
        <w:separator/>
      </w:r>
    </w:p>
  </w:endnote>
  <w:endnote w:type="continuationSeparator" w:id="0">
    <w:p w14:paraId="0CC056C4" w14:textId="77777777" w:rsidR="00BC4399" w:rsidRDefault="00BC4399" w:rsidP="006D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FB716" w14:textId="77777777" w:rsidR="00BC4399" w:rsidRDefault="00BC4399" w:rsidP="006D49B1">
      <w:r>
        <w:separator/>
      </w:r>
    </w:p>
  </w:footnote>
  <w:footnote w:type="continuationSeparator" w:id="0">
    <w:p w14:paraId="63972D04" w14:textId="77777777" w:rsidR="00BC4399" w:rsidRDefault="00BC4399" w:rsidP="006D4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6E"/>
    <w:rsid w:val="004F19AA"/>
    <w:rsid w:val="00515302"/>
    <w:rsid w:val="006D49B1"/>
    <w:rsid w:val="00A348F7"/>
    <w:rsid w:val="00BC4399"/>
    <w:rsid w:val="00E67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7D497AC-D3E4-4985-BF57-0EDB5442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9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49B1"/>
    <w:rPr>
      <w:sz w:val="18"/>
      <w:szCs w:val="18"/>
    </w:rPr>
  </w:style>
  <w:style w:type="paragraph" w:styleId="a5">
    <w:name w:val="footer"/>
    <w:basedOn w:val="a"/>
    <w:link w:val="a6"/>
    <w:uiPriority w:val="99"/>
    <w:unhideWhenUsed/>
    <w:rsid w:val="006D49B1"/>
    <w:pPr>
      <w:tabs>
        <w:tab w:val="center" w:pos="4153"/>
        <w:tab w:val="right" w:pos="8306"/>
      </w:tabs>
      <w:snapToGrid w:val="0"/>
      <w:jc w:val="left"/>
    </w:pPr>
    <w:rPr>
      <w:sz w:val="18"/>
      <w:szCs w:val="18"/>
    </w:rPr>
  </w:style>
  <w:style w:type="character" w:customStyle="1" w:styleId="a6">
    <w:name w:val="页脚 字符"/>
    <w:basedOn w:val="a0"/>
    <w:link w:val="a5"/>
    <w:uiPriority w:val="99"/>
    <w:rsid w:val="006D49B1"/>
    <w:rPr>
      <w:sz w:val="18"/>
      <w:szCs w:val="18"/>
    </w:rPr>
  </w:style>
  <w:style w:type="table" w:styleId="a7">
    <w:name w:val="Table Grid"/>
    <w:basedOn w:val="a1"/>
    <w:qFormat/>
    <w:rsid w:val="006D49B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2041213048@qq.com</dc:creator>
  <cp:keywords/>
  <dc:description/>
  <cp:lastModifiedBy>2041213048@qq.com</cp:lastModifiedBy>
  <cp:revision>2</cp:revision>
  <dcterms:created xsi:type="dcterms:W3CDTF">2022-12-05T10:32:00Z</dcterms:created>
  <dcterms:modified xsi:type="dcterms:W3CDTF">2022-12-05T10:32:00Z</dcterms:modified>
</cp:coreProperties>
</file>