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80" w:lineRule="atLeast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32"/>
          <w:szCs w:val="32"/>
        </w:rPr>
        <w:t>经济学院第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届暑期社会实践媒体报道佐证材料汇总表</w:t>
      </w:r>
      <w:bookmarkEnd w:id="0"/>
    </w:p>
    <w:p>
      <w:pPr>
        <w:spacing w:line="380" w:lineRule="atLeast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cs="宋体"/>
          <w:kern w:val="0"/>
          <w:sz w:val="24"/>
        </w:rPr>
        <w:t>团队名称：</w:t>
      </w:r>
    </w:p>
    <w:tbl>
      <w:tblPr>
        <w:tblStyle w:val="3"/>
        <w:tblW w:w="84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76"/>
        <w:gridCol w:w="1579"/>
        <w:gridCol w:w="1108"/>
        <w:gridCol w:w="226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序号</w:t>
            </w:r>
          </w:p>
        </w:tc>
        <w:tc>
          <w:tcPr>
            <w:tcW w:w="1376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媒体</w:t>
            </w:r>
          </w:p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名称</w:t>
            </w:r>
          </w:p>
        </w:tc>
        <w:tc>
          <w:tcPr>
            <w:tcW w:w="1579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级别（国家级、省级、县（市、区）级）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报道</w:t>
            </w:r>
          </w:p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2267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宣传内容（标题）</w:t>
            </w:r>
          </w:p>
        </w:tc>
        <w:tc>
          <w:tcPr>
            <w:tcW w:w="1620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报道</w:t>
            </w:r>
          </w:p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76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9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08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267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</w:tbl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/>
        <w:autoSpaceDN w:val="0"/>
        <w:spacing w:line="440" w:lineRule="exact"/>
        <w:ind w:right="26"/>
        <w:rPr>
          <w:rFonts w:ascii="仿宋_GB2312" w:eastAsia="仿宋_GB2312"/>
          <w:kern w:val="0"/>
          <w:sz w:val="28"/>
        </w:rPr>
      </w:pP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DilleniaUPC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Ohka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569F7"/>
    <w:rsid w:val="740569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2016-10-07T08:59:00Z</dcterms:created>
  <dc:creator>Administrator</dc:creator>
  <cp:lastModifiedBy>Administrator</cp:lastModifiedBy>
  <dcterms:modified xsi:type="dcterms:W3CDTF">2016-10-07T09:00:01Z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