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240" w:lineRule="auto"/>
        <w:jc w:val="both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附件：</w:t>
      </w:r>
    </w:p>
    <w:p>
      <w:pPr>
        <w:pStyle w:val="4"/>
        <w:spacing w:beforeAutospacing="0" w:afterAutospacing="0" w:line="240" w:lineRule="auto"/>
        <w:jc w:val="center"/>
        <w:rPr>
          <w:rFonts w:ascii="黑体" w:hAnsi="黑体" w:eastAsia="黑体" w:cs="仿宋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color w:val="000000"/>
          <w:sz w:val="36"/>
          <w:szCs w:val="36"/>
        </w:rPr>
        <w:t>20</w:t>
      </w:r>
      <w:r>
        <w:rPr>
          <w:rFonts w:ascii="黑体" w:hAnsi="黑体" w:eastAsia="黑体" w:cs="仿宋"/>
          <w:b/>
          <w:bCs/>
          <w:color w:val="000000"/>
          <w:sz w:val="36"/>
          <w:szCs w:val="36"/>
        </w:rPr>
        <w:t>21-2022</w:t>
      </w:r>
      <w:r>
        <w:rPr>
          <w:rFonts w:hint="eastAsia" w:ascii="黑体" w:hAnsi="黑体" w:eastAsia="黑体" w:cs="仿宋"/>
          <w:b/>
          <w:bCs/>
          <w:color w:val="000000"/>
          <w:sz w:val="36"/>
          <w:szCs w:val="36"/>
        </w:rPr>
        <w:t>学年“宿舍文化节”系列活动</w:t>
      </w:r>
    </w:p>
    <w:p>
      <w:pPr>
        <w:pStyle w:val="4"/>
        <w:spacing w:beforeAutospacing="0" w:afterAutospacing="0" w:line="240" w:lineRule="auto"/>
        <w:jc w:val="center"/>
        <w:rPr>
          <w:rFonts w:ascii="黑体" w:hAnsi="黑体" w:eastAsia="黑体" w:cs="仿宋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color w:val="000000"/>
          <w:sz w:val="36"/>
          <w:szCs w:val="36"/>
        </w:rPr>
        <w:t>获奖宿舍名单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rPr>
          <w:rFonts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一、“舍标大赛”活动获奖宿舍名单</w:t>
      </w:r>
    </w:p>
    <w:p>
      <w:pPr>
        <w:pStyle w:val="4"/>
        <w:spacing w:beforeAutospacing="0" w:afterAutospacing="0" w:line="240" w:lineRule="auto"/>
        <w:ind w:firstLine="600" w:firstLineChars="200"/>
        <w:jc w:val="both"/>
        <w:rPr>
          <w:rFonts w:ascii="仿宋" w:hAnsi="仿宋" w:eastAsia="仿宋" w:cs="-webkit-standard"/>
          <w:color w:val="000000"/>
          <w:sz w:val="30"/>
          <w:szCs w:val="30"/>
        </w:rPr>
      </w:pPr>
      <w:r>
        <w:rPr>
          <w:rFonts w:ascii="仿宋" w:hAnsi="仿宋" w:eastAsia="仿宋" w:cs="-webkit-standard"/>
          <w:color w:val="000000"/>
          <w:sz w:val="30"/>
          <w:szCs w:val="30"/>
        </w:rPr>
        <w:t>一等奖</w:t>
      </w:r>
      <w:r>
        <w:rPr>
          <w:rFonts w:hint="eastAsia" w:ascii="仿宋" w:hAnsi="仿宋" w:eastAsia="仿宋" w:cs="-webkit-standard"/>
          <w:color w:val="000000"/>
          <w:sz w:val="30"/>
          <w:szCs w:val="30"/>
        </w:rPr>
        <w:t>：</w:t>
      </w:r>
      <w:r>
        <w:rPr>
          <w:rFonts w:ascii="仿宋" w:hAnsi="仿宋" w:eastAsia="仿宋" w:cs="-webkit-standard"/>
          <w:color w:val="000000"/>
          <w:sz w:val="30"/>
          <w:szCs w:val="30"/>
        </w:rPr>
        <w:t>桂12-616、桂12-506</w:t>
      </w:r>
    </w:p>
    <w:p>
      <w:pPr>
        <w:pStyle w:val="4"/>
        <w:spacing w:beforeAutospacing="0" w:afterAutospacing="0" w:line="240" w:lineRule="auto"/>
        <w:ind w:firstLine="600" w:firstLineChars="200"/>
        <w:jc w:val="both"/>
        <w:rPr>
          <w:rFonts w:ascii="仿宋" w:hAnsi="仿宋" w:eastAsia="仿宋" w:cs="-webkit-standard"/>
          <w:color w:val="000000"/>
          <w:sz w:val="30"/>
          <w:szCs w:val="30"/>
        </w:rPr>
      </w:pPr>
      <w:r>
        <w:rPr>
          <w:rFonts w:ascii="仿宋" w:hAnsi="仿宋" w:eastAsia="仿宋" w:cs="-webkit-standard"/>
          <w:color w:val="000000"/>
          <w:sz w:val="30"/>
          <w:szCs w:val="30"/>
        </w:rPr>
        <w:t>二等奖</w:t>
      </w:r>
      <w:r>
        <w:rPr>
          <w:rFonts w:hint="eastAsia" w:ascii="仿宋" w:hAnsi="仿宋" w:eastAsia="仿宋" w:cs="-webkit-standard"/>
          <w:color w:val="000000"/>
          <w:sz w:val="30"/>
          <w:szCs w:val="30"/>
        </w:rPr>
        <w:t>：</w:t>
      </w:r>
      <w:r>
        <w:rPr>
          <w:rFonts w:ascii="仿宋" w:hAnsi="仿宋" w:eastAsia="仿宋" w:cs="-webkit-standard"/>
          <w:color w:val="000000"/>
          <w:sz w:val="30"/>
          <w:szCs w:val="30"/>
        </w:rPr>
        <w:t>桂12-402、桂12-612、桂12-601、桂12-408</w:t>
      </w:r>
    </w:p>
    <w:p>
      <w:pPr>
        <w:pStyle w:val="4"/>
        <w:spacing w:beforeAutospacing="0" w:afterAutospacing="0" w:line="240" w:lineRule="auto"/>
        <w:ind w:firstLine="600" w:firstLineChars="200"/>
        <w:jc w:val="both"/>
        <w:rPr>
          <w:rFonts w:ascii="仿宋" w:hAnsi="仿宋" w:eastAsia="仿宋" w:cs="-webkit-standard"/>
          <w:color w:val="000000"/>
          <w:sz w:val="30"/>
          <w:szCs w:val="30"/>
        </w:rPr>
      </w:pPr>
      <w:r>
        <w:rPr>
          <w:rFonts w:ascii="仿宋" w:hAnsi="仿宋" w:eastAsia="仿宋" w:cs="-webkit-standard"/>
          <w:color w:val="000000"/>
          <w:sz w:val="30"/>
          <w:szCs w:val="30"/>
        </w:rPr>
        <w:t>三等奖</w:t>
      </w:r>
      <w:r>
        <w:rPr>
          <w:rFonts w:hint="eastAsia" w:ascii="仿宋" w:hAnsi="仿宋" w:eastAsia="仿宋" w:cs="-webkit-standard"/>
          <w:color w:val="000000"/>
          <w:sz w:val="30"/>
          <w:szCs w:val="30"/>
        </w:rPr>
        <w:t>：桂</w:t>
      </w:r>
      <w:r>
        <w:rPr>
          <w:rFonts w:ascii="仿宋" w:hAnsi="仿宋" w:eastAsia="仿宋" w:cs="-webkit-standard"/>
          <w:color w:val="000000"/>
          <w:sz w:val="30"/>
          <w:szCs w:val="30"/>
        </w:rPr>
        <w:t>12-401、桂12-409、桂12-502、桂12-513</w:t>
      </w:r>
      <w:r>
        <w:rPr>
          <w:rFonts w:hint="eastAsia" w:ascii="仿宋" w:hAnsi="仿宋" w:eastAsia="仿宋" w:cs="-webkit-standard"/>
          <w:color w:val="000000"/>
          <w:sz w:val="30"/>
          <w:szCs w:val="30"/>
        </w:rPr>
        <w:t>、</w:t>
      </w:r>
    </w:p>
    <w:p>
      <w:pPr>
        <w:pStyle w:val="4"/>
        <w:spacing w:beforeAutospacing="0" w:afterAutospacing="0" w:line="240" w:lineRule="auto"/>
        <w:ind w:firstLine="1800" w:firstLineChars="600"/>
        <w:jc w:val="both"/>
        <w:rPr>
          <w:rFonts w:ascii="仿宋" w:hAnsi="仿宋" w:eastAsia="仿宋" w:cs="-webkit-standard"/>
          <w:color w:val="000000"/>
          <w:sz w:val="30"/>
          <w:szCs w:val="30"/>
        </w:rPr>
      </w:pPr>
      <w:r>
        <w:rPr>
          <w:rFonts w:ascii="仿宋" w:hAnsi="仿宋" w:eastAsia="仿宋" w:cs="-webkit-standard"/>
          <w:color w:val="000000"/>
          <w:sz w:val="30"/>
          <w:szCs w:val="30"/>
        </w:rPr>
        <w:t>桂12-602、桂12-610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二、“</w:t>
      </w:r>
      <w:r>
        <w:rPr>
          <w:rFonts w:ascii="仿宋" w:hAnsi="仿宋" w:eastAsia="仿宋" w:cs="仿宋"/>
          <w:b/>
          <w:bCs/>
          <w:color w:val="000000"/>
          <w:sz w:val="30"/>
          <w:szCs w:val="30"/>
        </w:rPr>
        <w:t>致敬经典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”活动获奖宿舍名单</w:t>
      </w:r>
    </w:p>
    <w:p>
      <w:pPr>
        <w:pStyle w:val="4"/>
        <w:spacing w:beforeAutospacing="0" w:afterAutospacing="0" w:line="240" w:lineRule="auto"/>
        <w:ind w:firstLine="600" w:firstLineChars="200"/>
        <w:jc w:val="both"/>
        <w:rPr>
          <w:rFonts w:ascii="仿宋" w:hAnsi="仿宋" w:eastAsia="仿宋" w:cs="-webkit-standard"/>
          <w:color w:val="000000"/>
          <w:sz w:val="30"/>
          <w:szCs w:val="30"/>
        </w:rPr>
      </w:pPr>
      <w:r>
        <w:rPr>
          <w:rFonts w:ascii="仿宋" w:hAnsi="仿宋" w:eastAsia="仿宋" w:cs="-webkit-standard"/>
          <w:color w:val="000000"/>
          <w:sz w:val="30"/>
          <w:szCs w:val="30"/>
        </w:rPr>
        <w:t>一等奖</w:t>
      </w:r>
      <w:r>
        <w:rPr>
          <w:rFonts w:hint="eastAsia" w:ascii="仿宋" w:hAnsi="仿宋" w:eastAsia="仿宋" w:cs="-webkit-standard"/>
          <w:color w:val="000000"/>
          <w:sz w:val="30"/>
          <w:szCs w:val="30"/>
        </w:rPr>
        <w:t>：</w:t>
      </w:r>
      <w:r>
        <w:rPr>
          <w:rFonts w:ascii="仿宋" w:hAnsi="仿宋" w:eastAsia="仿宋" w:cs="-webkit-standard"/>
          <w:color w:val="000000"/>
          <w:sz w:val="30"/>
          <w:szCs w:val="30"/>
        </w:rPr>
        <w:t>桂12-517</w:t>
      </w:r>
    </w:p>
    <w:p>
      <w:pPr>
        <w:pStyle w:val="4"/>
        <w:spacing w:beforeAutospacing="0" w:afterAutospacing="0" w:line="240" w:lineRule="auto"/>
        <w:ind w:firstLine="600" w:firstLineChars="200"/>
        <w:jc w:val="both"/>
        <w:rPr>
          <w:rFonts w:ascii="仿宋" w:hAnsi="仿宋" w:eastAsia="仿宋" w:cs="-webkit-standard"/>
          <w:color w:val="000000"/>
          <w:sz w:val="30"/>
          <w:szCs w:val="30"/>
        </w:rPr>
      </w:pPr>
      <w:r>
        <w:rPr>
          <w:rFonts w:ascii="仿宋" w:hAnsi="仿宋" w:eastAsia="仿宋" w:cs="-webkit-standard"/>
          <w:color w:val="000000"/>
          <w:sz w:val="30"/>
          <w:szCs w:val="30"/>
        </w:rPr>
        <w:t>二等奖</w:t>
      </w:r>
      <w:r>
        <w:rPr>
          <w:rFonts w:hint="eastAsia" w:ascii="仿宋" w:hAnsi="仿宋" w:eastAsia="仿宋" w:cs="-webkit-standard"/>
          <w:color w:val="000000"/>
          <w:sz w:val="30"/>
          <w:szCs w:val="30"/>
        </w:rPr>
        <w:t>：</w:t>
      </w:r>
      <w:r>
        <w:rPr>
          <w:rFonts w:ascii="仿宋" w:hAnsi="仿宋" w:eastAsia="仿宋" w:cs="-webkit-standard"/>
          <w:color w:val="000000"/>
          <w:sz w:val="30"/>
          <w:szCs w:val="30"/>
        </w:rPr>
        <w:t>桂12-106</w:t>
      </w:r>
      <w:r>
        <w:rPr>
          <w:rFonts w:hint="eastAsia" w:ascii="仿宋" w:hAnsi="仿宋" w:eastAsia="仿宋" w:cs="-webkit-standard"/>
          <w:color w:val="000000"/>
          <w:sz w:val="30"/>
          <w:szCs w:val="30"/>
        </w:rPr>
        <w:t>、桃8-510</w:t>
      </w:r>
    </w:p>
    <w:p>
      <w:pPr>
        <w:pStyle w:val="4"/>
        <w:spacing w:beforeAutospacing="0" w:afterAutospacing="0" w:line="240" w:lineRule="auto"/>
        <w:ind w:firstLine="600" w:firstLineChars="200"/>
        <w:jc w:val="both"/>
        <w:rPr>
          <w:rFonts w:ascii="仿宋" w:hAnsi="仿宋" w:eastAsia="仿宋" w:cs="-webkit-standard"/>
          <w:color w:val="000000"/>
          <w:sz w:val="30"/>
          <w:szCs w:val="30"/>
        </w:rPr>
      </w:pPr>
      <w:r>
        <w:rPr>
          <w:rFonts w:hint="eastAsia" w:ascii="仿宋" w:hAnsi="仿宋" w:eastAsia="仿宋" w:cs="-webkit-standard"/>
          <w:color w:val="000000"/>
          <w:sz w:val="30"/>
          <w:szCs w:val="30"/>
        </w:rPr>
        <w:t>三等奖：桂12-409、桃8-622、桂12-511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三、“</w:t>
      </w:r>
      <w:r>
        <w:rPr>
          <w:rFonts w:ascii="仿宋" w:hAnsi="仿宋" w:eastAsia="仿宋" w:cs="仿宋"/>
          <w:b/>
          <w:bCs/>
          <w:color w:val="000000"/>
          <w:sz w:val="30"/>
          <w:szCs w:val="30"/>
        </w:rPr>
        <w:t>舍友向前冲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”活动获奖宿舍名单</w:t>
      </w:r>
    </w:p>
    <w:bookmarkEnd w:id="0"/>
    <w:p>
      <w:pPr>
        <w:pStyle w:val="4"/>
        <w:spacing w:beforeAutospacing="0" w:afterAutospacing="0" w:line="240" w:lineRule="auto"/>
        <w:ind w:firstLine="600" w:firstLineChars="200"/>
        <w:jc w:val="both"/>
        <w:rPr>
          <w:rFonts w:ascii="仿宋" w:hAnsi="仿宋" w:eastAsia="仿宋" w:cs="-webkit-standard"/>
          <w:color w:val="000000"/>
          <w:sz w:val="30"/>
          <w:szCs w:val="30"/>
        </w:rPr>
      </w:pPr>
      <w:r>
        <w:rPr>
          <w:rFonts w:hint="eastAsia" w:ascii="仿宋" w:hAnsi="仿宋" w:eastAsia="仿宋" w:cs="-webkit-standard"/>
          <w:color w:val="000000"/>
          <w:sz w:val="30"/>
          <w:szCs w:val="30"/>
        </w:rPr>
        <w:t>一等奖：桃8</w:t>
      </w:r>
      <w:r>
        <w:rPr>
          <w:rFonts w:ascii="仿宋" w:hAnsi="仿宋" w:eastAsia="仿宋" w:cs="-webkit-standard"/>
          <w:color w:val="000000"/>
          <w:sz w:val="30"/>
          <w:szCs w:val="30"/>
        </w:rPr>
        <w:t>-</w:t>
      </w:r>
      <w:r>
        <w:rPr>
          <w:rFonts w:hint="eastAsia" w:ascii="仿宋" w:hAnsi="仿宋" w:eastAsia="仿宋" w:cs="-webkit-standard"/>
          <w:color w:val="000000"/>
          <w:sz w:val="30"/>
          <w:szCs w:val="30"/>
        </w:rPr>
        <w:t>604</w:t>
      </w:r>
    </w:p>
    <w:p>
      <w:pPr>
        <w:pStyle w:val="4"/>
        <w:spacing w:beforeAutospacing="0" w:afterAutospacing="0" w:line="240" w:lineRule="auto"/>
        <w:ind w:firstLine="600" w:firstLineChars="200"/>
        <w:jc w:val="both"/>
        <w:rPr>
          <w:rFonts w:ascii="仿宋" w:hAnsi="仿宋" w:eastAsia="仿宋" w:cs="-webkit-standard"/>
          <w:color w:val="000000"/>
          <w:sz w:val="30"/>
          <w:szCs w:val="30"/>
        </w:rPr>
      </w:pPr>
      <w:r>
        <w:rPr>
          <w:rFonts w:hint="eastAsia" w:ascii="仿宋" w:hAnsi="仿宋" w:eastAsia="仿宋" w:cs="-webkit-standard"/>
          <w:color w:val="000000"/>
          <w:sz w:val="30"/>
          <w:szCs w:val="30"/>
        </w:rPr>
        <w:t>二等奖：桃4-112、桃8-615</w:t>
      </w:r>
    </w:p>
    <w:p>
      <w:pPr>
        <w:pStyle w:val="4"/>
        <w:spacing w:beforeAutospacing="0" w:afterAutospacing="0" w:line="240" w:lineRule="auto"/>
        <w:ind w:firstLine="60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-webkit-standard"/>
          <w:color w:val="000000"/>
          <w:sz w:val="30"/>
          <w:szCs w:val="30"/>
        </w:rPr>
        <w:t>三等奖：桃3-310、桃8-504、桂12-609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938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260" w:lineRule="atLeast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292</Characters>
  <Paragraphs>12</Paragraphs>
  <TotalTime>1</TotalTime>
  <ScaleCrop>false</ScaleCrop>
  <LinksUpToDate>false</LinksUpToDate>
  <CharactersWithSpaces>298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2022-05-16T02:55:00Z</dcterms:created>
  <dc:creator>林欣</dc:creator>
  <cp:lastModifiedBy>云深不知处</cp:lastModifiedBy>
  <dcterms:modified xsi:type="dcterms:W3CDTF">2022-05-25T05:15:13Z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9B76608C9E9B42E995D1A7C54FAA4EB5</vt:lpwstr>
  </property>
</Properties>
</file>