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经济学院第十届英语演讲比赛评分标准</w:t>
      </w:r>
    </w:p>
    <w:bookmarkEnd w:id="0"/>
    <w:tbl>
      <w:tblPr>
        <w:tblStyle w:val="2"/>
        <w:tblW w:w="6115" w:type="dxa"/>
        <w:tblInd w:w="10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Prepared Speech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Content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Point of view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Language ability  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Stage</w:t>
            </w:r>
            <w:r>
              <w:rPr>
                <w:rFonts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performance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Question-and-answer part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20%</w:t>
            </w:r>
          </w:p>
        </w:tc>
      </w:tr>
    </w:tbl>
    <w:p>
      <w:pPr>
        <w:ind w:right="9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注：本次活动评分标准最终解释权归属</w:t>
      </w:r>
      <w:r>
        <w:rPr>
          <w:rFonts w:hint="eastAsia" w:ascii="仿宋" w:hAnsi="仿宋" w:eastAsia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/>
          <w:sz w:val="32"/>
          <w:szCs w:val="32"/>
        </w:rPr>
        <w:t>赛评审团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5B70"/>
    <w:rsid w:val="7A1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2019-04-02T05:07:00Z</dcterms:created>
  <dc:creator>蒋采钰</dc:creator>
  <cp:lastModifiedBy>蒋采钰</cp:lastModifiedBy>
  <dcterms:modified xsi:type="dcterms:W3CDTF">2019-04-02T05:08:32Z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